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7C9089E3" w:rsidR="00106B79" w:rsidRPr="00CF3F9F" w:rsidRDefault="004A6FAE" w:rsidP="00C45BC5">
          <w:pPr>
            <w:pStyle w:val="Subtitle"/>
            <w:spacing w:after="200"/>
            <w:jc w:val="center"/>
            <w:rPr>
              <w:rFonts w:ascii="Antonio" w:hAnsi="Antonio"/>
            </w:rPr>
          </w:pPr>
          <w:r>
            <w:t>Outdoor visitor safety fund</w:t>
          </w:r>
          <w:r w:rsidR="00CE7089">
            <w:t>:</w:t>
          </w:r>
          <w:r w:rsidR="00AE29DF">
            <w:br/>
            <w:t xml:space="preserve">south yuba citizens league </w:t>
          </w:r>
          <w:r w:rsidR="00CE7089">
            <w:t>River Ambassadors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outlineLvl w:val="0"/>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outlineLvl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outlineLvl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outlineLvl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outlineLvl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outlineLvl w:val="0"/>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26AA4192" w:rsidR="009D591B" w:rsidRPr="00EA2D31" w:rsidRDefault="00692D3B" w:rsidP="00CD3DBE">
            <w:pPr>
              <w:pStyle w:val="Heading1"/>
              <w:spacing w:before="60" w:after="60"/>
              <w:contextualSpacing w:val="0"/>
              <w:outlineLvl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1037B6">
              <w:rPr>
                <w:rFonts w:asciiTheme="minorHAnsi" w:eastAsia="Times New Roman" w:hAnsiTheme="minorHAnsi"/>
                <w:caps w:val="0"/>
                <w:color w:val="auto"/>
                <w:sz w:val="23"/>
                <w:szCs w:val="23"/>
              </w:rPr>
              <w:t>16,705</w:t>
            </w:r>
          </w:p>
        </w:tc>
        <w:tc>
          <w:tcPr>
            <w:tcW w:w="2345" w:type="dxa"/>
          </w:tcPr>
          <w:p w14:paraId="3F88F5C8" w14:textId="48919EA5" w:rsidR="009D591B" w:rsidRPr="00EA2D31" w:rsidRDefault="009D591B" w:rsidP="00CD3DBE">
            <w:pPr>
              <w:pStyle w:val="Heading1"/>
              <w:spacing w:before="60" w:after="60"/>
              <w:contextualSpacing w:val="0"/>
              <w:jc w:val="right"/>
              <w:outlineLvl w:val="0"/>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1AF42DE1" w:rsidR="009D591B" w:rsidRPr="00EA2D31" w:rsidRDefault="00692D3B" w:rsidP="00CD3DBE">
            <w:pPr>
              <w:pStyle w:val="Heading1"/>
              <w:spacing w:before="60" w:after="60"/>
              <w:contextualSpacing w:val="0"/>
              <w:outlineLvl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1037B6">
              <w:rPr>
                <w:rFonts w:asciiTheme="minorHAnsi" w:eastAsia="Times New Roman" w:hAnsiTheme="minorHAnsi"/>
                <w:caps w:val="0"/>
                <w:color w:val="auto"/>
                <w:sz w:val="23"/>
                <w:szCs w:val="23"/>
              </w:rPr>
              <w:t>16,705</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No  Is there FEMA, State or other Direct or Grant Funding available? If Yes,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outlineLvl w:val="0"/>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outlineLvl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outlineLvl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outlineLvl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outlineLvl w:val="0"/>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outlineLvl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outlineLvl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outlineLvl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06CA6397" w:rsidR="59FC5A5B" w:rsidRDefault="59FC5A5B" w:rsidP="45763D66">
      <w:pPr>
        <w:rPr>
          <w:rFonts w:ascii="Tw Cen MT" w:eastAsia="Tw Cen MT" w:hAnsi="Tw Cen MT" w:cs="Tw Cen MT"/>
          <w:color w:val="000000" w:themeColor="text1"/>
        </w:rPr>
      </w:pPr>
      <w:r w:rsidRPr="45763D66">
        <w:rPr>
          <w:rFonts w:ascii="Tw Cen MT" w:eastAsia="Tw Cen MT" w:hAnsi="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021CBA4D" w:rsidRPr="45763D66">
        <w:rPr>
          <w:rFonts w:ascii="Tw Cen MT" w:eastAsia="Tw Cen MT" w:hAnsi="Tw Cen MT" w:cs="Tw Cen MT"/>
          <w:color w:val="000000" w:themeColor="text1"/>
        </w:rPr>
        <w:t xml:space="preserve">Nine projects were reviewed and approved for a total of $415,570 in funding, and agreements approved by the Board on June 28, 2022, </w:t>
      </w:r>
      <w:r w:rsidR="021CBA4D" w:rsidRPr="45763D66">
        <w:rPr>
          <w:rFonts w:ascii="Tw Cen MT" w:eastAsia="Tw Cen MT" w:hAnsi="Tw Cen MT" w:cs="Tw Cen MT"/>
          <w:b/>
          <w:bCs/>
          <w:color w:val="000000" w:themeColor="text1"/>
        </w:rPr>
        <w:t>including this project outlined below:</w:t>
      </w:r>
    </w:p>
    <w:p w14:paraId="03E658E7" w14:textId="78A8A588" w:rsidR="00002717" w:rsidRPr="00002717" w:rsidRDefault="00002717" w:rsidP="00002717">
      <w:pPr>
        <w:pStyle w:val="paragraph"/>
        <w:spacing w:before="0" w:beforeAutospacing="0" w:after="0" w:afterAutospacing="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color w:val="000000"/>
          <w:kern w:val="24"/>
          <w:sz w:val="23"/>
          <w:szCs w:val="23"/>
          <w:shd w:val="clear" w:color="auto" w:fill="FFFFFF"/>
          <w14:ligatures w14:val="standardContextual"/>
        </w:rPr>
        <w:t> </w:t>
      </w:r>
    </w:p>
    <w:p w14:paraId="5414F5CC" w14:textId="228FD3BB" w:rsidR="00AE29DF" w:rsidRPr="00AE29DF" w:rsidRDefault="00002717" w:rsidP="0055107D">
      <w:pPr>
        <w:pStyle w:val="paragraph"/>
        <w:numPr>
          <w:ilvl w:val="0"/>
          <w:numId w:val="33"/>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AE29DF">
        <w:rPr>
          <w:rStyle w:val="normaltextrun"/>
          <w:rFonts w:asciiTheme="minorHAnsi" w:eastAsiaTheme="minorHAnsi" w:hAnsiTheme="minorHAnsi"/>
          <w:b/>
          <w:bCs/>
          <w:color w:val="000000"/>
          <w:kern w:val="24"/>
          <w:sz w:val="23"/>
          <w:szCs w:val="23"/>
          <w:shd w:val="clear" w:color="auto" w:fill="FFFFFF"/>
          <w14:ligatures w14:val="standardContextual"/>
        </w:rPr>
        <w:t>South Yuba River Citizen’s League</w:t>
      </w:r>
      <w:r w:rsidR="00AE29DF">
        <w:rPr>
          <w:rStyle w:val="normaltextrun"/>
          <w:rFonts w:asciiTheme="minorHAnsi" w:eastAsiaTheme="minorHAnsi" w:hAnsiTheme="minorHAnsi"/>
          <w:b/>
          <w:bCs/>
          <w:color w:val="000000"/>
          <w:kern w:val="24"/>
          <w:sz w:val="23"/>
          <w:szCs w:val="23"/>
          <w:shd w:val="clear" w:color="auto" w:fill="FFFFFF"/>
          <w14:ligatures w14:val="standardContextual"/>
        </w:rPr>
        <w:t xml:space="preserve"> (SYRCL)</w:t>
      </w:r>
      <w:r w:rsidRPr="00AE29DF">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AE29DF">
        <w:rPr>
          <w:rStyle w:val="normaltextrun"/>
          <w:rFonts w:asciiTheme="minorHAnsi" w:eastAsiaTheme="minorHAnsi" w:hAnsiTheme="minorHAnsi"/>
          <w:b/>
          <w:bCs/>
          <w:color w:val="000000"/>
          <w:kern w:val="24"/>
          <w:sz w:val="23"/>
          <w:szCs w:val="23"/>
          <w:shd w:val="clear" w:color="auto" w:fill="FFFFFF"/>
          <w14:ligatures w14:val="standardContextual"/>
        </w:rPr>
        <w:t>$16,705</w:t>
      </w:r>
      <w:r w:rsidRPr="00AE29DF">
        <w:rPr>
          <w:rStyle w:val="normaltextrun"/>
          <w:rFonts w:asciiTheme="minorHAnsi" w:eastAsiaTheme="minorHAnsi" w:hAnsiTheme="minorHAnsi"/>
          <w:color w:val="000000"/>
          <w:kern w:val="24"/>
          <w:sz w:val="23"/>
          <w:szCs w:val="23"/>
          <w:shd w:val="clear" w:color="auto" w:fill="FFFFFF"/>
          <w14:ligatures w14:val="standardContextual"/>
        </w:rPr>
        <w:t xml:space="preserve"> for continuation of the River Ambassadors program at Highway 49 and Bridgeport with expansion to Purdon and Edwards’ Crossings that engages with the public on river safety, waste pickup and responsible recreation</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1F0A66C5" w14:textId="58D0E2F1" w:rsidR="00745B4A" w:rsidRDefault="00745B4A" w:rsidP="003D4426">
      <w:pPr>
        <w:pStyle w:val="ListParagraph"/>
        <w:shd w:val="clear" w:color="auto" w:fill="FFFFFF"/>
        <w:spacing w:after="100" w:afterAutospacing="1" w:line="240" w:lineRule="auto"/>
        <w:ind w:left="180"/>
        <w:rPr>
          <w:rFonts w:eastAsia="Times New Roman"/>
        </w:rPr>
      </w:pPr>
      <w:r>
        <w:rPr>
          <w:rFonts w:eastAsia="Times New Roman"/>
        </w:rPr>
        <w:t xml:space="preserve">The remaining amount of </w:t>
      </w:r>
      <w:r w:rsidR="00744F32">
        <w:rPr>
          <w:rFonts w:eastAsia="Times New Roman"/>
        </w:rPr>
        <w:t>$34,430</w:t>
      </w:r>
      <w:r w:rsidR="00A73F9B">
        <w:rPr>
          <w:rFonts w:eastAsia="Times New Roman"/>
        </w:rPr>
        <w:t xml:space="preserve"> will be awarded in a second round of funding for eligible projects.</w:t>
      </w:r>
    </w:p>
    <w:p w14:paraId="02E89802" w14:textId="2448C4E3" w:rsidR="001B61F7" w:rsidRDefault="001B61F7" w:rsidP="003D4426">
      <w:pPr>
        <w:pStyle w:val="ListParagraph"/>
        <w:shd w:val="clear" w:color="auto" w:fill="FFFFFF"/>
        <w:spacing w:after="100" w:afterAutospacing="1" w:line="240" w:lineRule="auto"/>
        <w:ind w:left="180"/>
        <w:rPr>
          <w:rFonts w:eastAsia="Times New Roman"/>
        </w:rPr>
      </w:pPr>
      <w:r>
        <w:rPr>
          <w:rFonts w:eastAsia="Times New Roman"/>
        </w:rPr>
        <w:t xml:space="preserve"> </w:t>
      </w: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id="0" w:name="_Hlk108601385"/>
    <w:p w14:paraId="2DB873D3" w14:textId="542F15E9"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AE29DF">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outlineLvl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7E69EB42"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AE29D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7C6BBA2B"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18635F39" w:rsidR="007E037C" w:rsidRPr="00CD3DBE" w:rsidRDefault="00000000" w:rsidP="00CD3DBE">
            <w:pPr>
              <w:pStyle w:val="Heading1"/>
              <w:spacing w:before="60" w:after="60"/>
              <w:contextualSpacing w:val="0"/>
              <w:outlineLvl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1"/>
                  <w14:checkedState w14:val="2612" w14:font="MS Gothic"/>
                  <w14:uncheckedState w14:val="2610" w14:font="MS Gothic"/>
                </w14:checkbox>
              </w:sdtPr>
              <w:sdtContent>
                <w:r w:rsidR="00AE29D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outlineLvl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outlineLvl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445E0D22"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AE29DF">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42142C30"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AE29DF">
                <w:rPr>
                  <w:color w:val="000000" w:themeColor="text1"/>
                </w:rPr>
                <w:t>This</w:t>
              </w:r>
              <w:r w:rsidR="006B6761">
                <w:rPr>
                  <w:color w:val="000000" w:themeColor="text1"/>
                </w:rPr>
                <w:t xml:space="preserve"> project</w:t>
              </w:r>
              <w:r w:rsidR="00AE29DF">
                <w:rPr>
                  <w:color w:val="000000" w:themeColor="text1"/>
                </w:rPr>
                <w:t xml:space="preserve"> is an</w:t>
              </w:r>
              <w:r w:rsidR="006B6761">
                <w:rPr>
                  <w:color w:val="000000" w:themeColor="text1"/>
                </w:rPr>
                <w:t xml:space="preserve"> ambassador </w:t>
              </w:r>
              <w:r w:rsidR="00AE29DF">
                <w:rPr>
                  <w:color w:val="000000" w:themeColor="text1"/>
                </w:rPr>
                <w:t>program that</w:t>
              </w:r>
              <w:r w:rsidR="006B6761">
                <w:rPr>
                  <w:color w:val="000000" w:themeColor="text1"/>
                </w:rPr>
                <w:t xml:space="preserve"> address</w:t>
              </w:r>
              <w:r w:rsidR="00AE29DF">
                <w:rPr>
                  <w:color w:val="000000" w:themeColor="text1"/>
                </w:rPr>
                <w:t>es</w:t>
              </w:r>
              <w:r w:rsidR="006B6761">
                <w:rPr>
                  <w:color w:val="000000" w:themeColor="text1"/>
                </w:rPr>
                <w:t xml:space="preserve"> emergency health and safety issues in summer</w:t>
              </w:r>
              <w:r w:rsidR="00AE29DF">
                <w:rPr>
                  <w:color w:val="000000" w:themeColor="text1"/>
                </w:rPr>
                <w:t>/fall</w:t>
              </w:r>
              <w:r w:rsidR="006B6761">
                <w:rPr>
                  <w:color w:val="000000" w:themeColor="text1"/>
                </w:rPr>
                <w:t xml:space="preserve"> 2022 at impacted recreation destinations</w:t>
              </w:r>
              <w:r w:rsidR="003D4426">
                <w:rPr>
                  <w:color w:val="000000" w:themeColor="text1"/>
                </w:rPr>
                <w:t>.</w:t>
              </w:r>
            </w:sdtContent>
          </w:sdt>
          <w:r w:rsidR="003D4426">
            <w:rPr>
              <w:color w:val="000000" w:themeColor="text1"/>
            </w:rPr>
            <w:t xml:space="preserve"> </w:t>
          </w:r>
        </w:sdtContent>
      </w:sdt>
    </w:p>
    <w:p w14:paraId="3F07B97C" w14:textId="74D0EA8E" w:rsidR="004C40E7" w:rsidRDefault="004C40E7" w:rsidP="004C40E7">
      <w:pPr>
        <w:pStyle w:val="Heading1"/>
        <w:rPr>
          <w:rFonts w:eastAsia="Times New Roman"/>
        </w:rPr>
      </w:pPr>
      <w:r>
        <w:t>OPERATIONAL IMPACT</w:t>
      </w:r>
    </w:p>
    <w:p w14:paraId="26639C8B" w14:textId="15F2EE74" w:rsidR="004C40E7" w:rsidRPr="00677FF4" w:rsidRDefault="003E61B3" w:rsidP="00677FF4">
      <w:pPr>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4459818C">
        <w:tc>
          <w:tcPr>
            <w:tcW w:w="5395" w:type="dxa"/>
          </w:tcPr>
          <w:p w14:paraId="3DE3BC2A" w14:textId="77777777" w:rsidR="00677FF4" w:rsidRDefault="00677FF4" w:rsidP="0077576C">
            <w:pPr>
              <w:pStyle w:val="ListParagraph"/>
              <w:spacing w:after="100" w:afterAutospacing="1"/>
              <w:ind w:left="0"/>
              <w:rPr>
                <w:rFonts w:eastAsia="Times New Roman"/>
              </w:rPr>
            </w:pPr>
            <w:r>
              <w:rPr>
                <w:rFonts w:eastAsia="Times New Roman"/>
              </w:rPr>
              <w:t>Grant award agreement executed:</w:t>
            </w:r>
          </w:p>
        </w:tc>
        <w:tc>
          <w:tcPr>
            <w:tcW w:w="5395" w:type="dxa"/>
          </w:tcPr>
          <w:p w14:paraId="64B67A16" w14:textId="381DB860" w:rsidR="00677FF4" w:rsidRPr="00C52031" w:rsidRDefault="00AE29DF" w:rsidP="4459818C">
            <w:pPr>
              <w:pStyle w:val="ListParagraph"/>
              <w:spacing w:afterAutospacing="1" w:line="276" w:lineRule="auto"/>
              <w:ind w:left="0"/>
              <w:rPr>
                <w:rFonts w:eastAsia="Times New Roman"/>
              </w:rPr>
            </w:pPr>
            <w:r>
              <w:rPr>
                <w:rFonts w:eastAsia="Times New Roman"/>
              </w:rPr>
              <w:t>yes</w:t>
            </w:r>
          </w:p>
        </w:tc>
      </w:tr>
      <w:tr w:rsidR="00677FF4" w14:paraId="63CCA763" w14:textId="77777777" w:rsidTr="4459818C">
        <w:tc>
          <w:tcPr>
            <w:tcW w:w="5395" w:type="dxa"/>
          </w:tcPr>
          <w:p w14:paraId="2A3B7162" w14:textId="77777777" w:rsidR="00677FF4" w:rsidRDefault="00677FF4" w:rsidP="0077576C">
            <w:pPr>
              <w:pStyle w:val="ListParagraph"/>
              <w:spacing w:after="100" w:afterAutospacing="1"/>
              <w:ind w:left="0"/>
              <w:rPr>
                <w:rFonts w:eastAsia="Times New Roman"/>
              </w:rPr>
            </w:pPr>
            <w:r>
              <w:rPr>
                <w:rFonts w:eastAsia="Times New Roman"/>
              </w:rPr>
              <w:t>First quarter report received:</w:t>
            </w:r>
          </w:p>
        </w:tc>
        <w:tc>
          <w:tcPr>
            <w:tcW w:w="5395" w:type="dxa"/>
          </w:tcPr>
          <w:p w14:paraId="4579916C" w14:textId="28A3031F" w:rsidR="00677FF4" w:rsidRDefault="00AE29DF" w:rsidP="0077576C">
            <w:pPr>
              <w:pStyle w:val="ListParagraph"/>
              <w:spacing w:after="100" w:afterAutospacing="1"/>
              <w:ind w:left="0"/>
              <w:rPr>
                <w:rFonts w:eastAsia="Times New Roman"/>
              </w:rPr>
            </w:pPr>
            <w:r>
              <w:rPr>
                <w:rFonts w:eastAsia="Times New Roman"/>
              </w:rPr>
              <w:t>Received, 9/10/22</w:t>
            </w:r>
          </w:p>
        </w:tc>
      </w:tr>
      <w:tr w:rsidR="00677FF4" w14:paraId="26A73A3B" w14:textId="77777777" w:rsidTr="4459818C">
        <w:tc>
          <w:tcPr>
            <w:tcW w:w="5395" w:type="dxa"/>
          </w:tcPr>
          <w:p w14:paraId="3D3E61EC" w14:textId="77777777" w:rsidR="00677FF4" w:rsidRDefault="00677FF4" w:rsidP="0077576C">
            <w:pPr>
              <w:pStyle w:val="ListParagraph"/>
              <w:spacing w:after="100" w:afterAutospacing="1"/>
              <w:ind w:left="0"/>
              <w:rPr>
                <w:rFonts w:eastAsia="Times New Roman"/>
              </w:rPr>
            </w:pPr>
            <w:r>
              <w:rPr>
                <w:rFonts w:eastAsia="Times New Roman"/>
              </w:rPr>
              <w:t>Second quarter report received:</w:t>
            </w:r>
          </w:p>
        </w:tc>
        <w:tc>
          <w:tcPr>
            <w:tcW w:w="5395" w:type="dxa"/>
          </w:tcPr>
          <w:p w14:paraId="1D3F7639" w14:textId="1F5859D0" w:rsidR="00677FF4" w:rsidRDefault="00677FF4" w:rsidP="0077576C">
            <w:pPr>
              <w:pStyle w:val="ListParagraph"/>
              <w:spacing w:after="100" w:afterAutospacing="1"/>
              <w:ind w:left="0"/>
              <w:rPr>
                <w:rFonts w:eastAsia="Times New Roman"/>
              </w:rPr>
            </w:pPr>
          </w:p>
        </w:tc>
      </w:tr>
      <w:tr w:rsidR="00677FF4" w14:paraId="3EBC21FA" w14:textId="77777777" w:rsidTr="4459818C">
        <w:tc>
          <w:tcPr>
            <w:tcW w:w="5395" w:type="dxa"/>
          </w:tcPr>
          <w:p w14:paraId="7871B4E2" w14:textId="77777777" w:rsidR="00677FF4" w:rsidRDefault="00677FF4" w:rsidP="0077576C">
            <w:pPr>
              <w:pStyle w:val="ListParagraph"/>
              <w:spacing w:after="100" w:afterAutospacing="1"/>
              <w:ind w:left="0"/>
              <w:rPr>
                <w:rFonts w:eastAsia="Times New Roman"/>
              </w:rPr>
            </w:pPr>
            <w:r>
              <w:rPr>
                <w:rFonts w:eastAsia="Times New Roman"/>
              </w:rPr>
              <w:t>Project Completed:</w:t>
            </w:r>
          </w:p>
        </w:tc>
        <w:tc>
          <w:tcPr>
            <w:tcW w:w="5395" w:type="dxa"/>
          </w:tcPr>
          <w:p w14:paraId="3D353EEF" w14:textId="0139411D" w:rsidR="00677FF4" w:rsidRDefault="00AE29DF" w:rsidP="0077576C">
            <w:pPr>
              <w:pStyle w:val="ListParagraph"/>
              <w:spacing w:after="100" w:afterAutospacing="1"/>
              <w:ind w:left="0"/>
              <w:rPr>
                <w:rFonts w:eastAsia="Times New Roman"/>
              </w:rPr>
            </w:pPr>
            <w:r>
              <w:rPr>
                <w:rFonts w:eastAsia="Times New Roman"/>
              </w:rPr>
              <w:t>In progress</w:t>
            </w:r>
          </w:p>
        </w:tc>
      </w:tr>
    </w:tbl>
    <w:p w14:paraId="382CCA93" w14:textId="77777777" w:rsidR="00677FF4" w:rsidRDefault="00677FF4" w:rsidP="00BB0617">
      <w:pPr>
        <w:pStyle w:val="Heading1"/>
        <w:contextualSpacing w:val="0"/>
      </w:pPr>
    </w:p>
    <w:p w14:paraId="5F752B87" w14:textId="196F0D0B" w:rsidR="003E1544" w:rsidRDefault="00CD3DBE" w:rsidP="00BB0617">
      <w:pPr>
        <w:pStyle w:val="Heading1"/>
        <w:contextualSpacing w:val="0"/>
      </w:pPr>
      <w:r>
        <w:lastRenderedPageBreak/>
        <w:t>BUDGET DETAIL</w:t>
      </w:r>
    </w:p>
    <w:p w14:paraId="5CE4044D" w14:textId="05988B09" w:rsidR="0005341A" w:rsidRDefault="0005341A" w:rsidP="0005341A">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3829F210" w:rsidR="00CD3DBE" w:rsidRPr="00F91D9E" w:rsidRDefault="00AE29DF" w:rsidP="00CD3DBE">
            <w:pPr>
              <w:pStyle w:val="ListParagraph"/>
              <w:spacing w:before="60" w:after="60"/>
              <w:ind w:left="71"/>
              <w:contextualSpacing w:val="0"/>
              <w:rPr>
                <w:rFonts w:eastAsia="Times New Roman"/>
                <w:sz w:val="23"/>
                <w:szCs w:val="23"/>
              </w:rPr>
            </w:pPr>
            <w:r>
              <w:rPr>
                <w:rFonts w:eastAsia="Times New Roman"/>
                <w:sz w:val="23"/>
                <w:szCs w:val="23"/>
              </w:rPr>
              <w:t>16,705</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2FC37C6B"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AE29DF">
              <w:rPr>
                <w:rFonts w:eastAsia="Times New Roman"/>
                <w:b/>
                <w:bCs/>
                <w:sz w:val="23"/>
                <w:szCs w:val="23"/>
              </w:rPr>
              <w:t>16,705</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61D89B60" w14:textId="77777777" w:rsidR="003A550C" w:rsidRPr="0061111E" w:rsidRDefault="003A550C" w:rsidP="003A550C">
      <w:pPr>
        <w:shd w:val="clear" w:color="auto" w:fill="FFFFFF" w:themeFill="background1"/>
        <w:spacing w:after="0" w:line="240" w:lineRule="auto"/>
        <w:ind w:left="180"/>
        <w:textAlignment w:val="baseline"/>
        <w:rPr>
          <w:rFonts w:eastAsia="Times New Roman"/>
          <w:highlight w:val="yellow"/>
        </w:rPr>
      </w:pPr>
      <w:r w:rsidRPr="0061111E">
        <w:rPr>
          <w:rFonts w:ascii="Tw Cen MT" w:eastAsia="Times New Roman" w:hAnsi="Tw Cen MT" w:cs="Segoe UI"/>
          <w:kern w:val="0"/>
          <w:highlight w:val="yellow"/>
          <w14:ligatures w14:val="none"/>
        </w:rPr>
        <w:t xml:space="preserve">Total expenditures as of </w:t>
      </w:r>
      <w:r>
        <w:rPr>
          <w:rFonts w:ascii="Tw Cen MT" w:eastAsia="Times New Roman" w:hAnsi="Tw Cen MT" w:cs="Segoe UI"/>
          <w:kern w:val="0"/>
          <w:highlight w:val="yellow"/>
          <w14:ligatures w14:val="none"/>
        </w:rPr>
        <w:t>9/10</w:t>
      </w:r>
      <w:r w:rsidRPr="0061111E">
        <w:rPr>
          <w:rFonts w:ascii="Tw Cen MT" w:eastAsia="Times New Roman" w:hAnsi="Tw Cen MT" w:cs="Segoe UI"/>
          <w:kern w:val="0"/>
          <w:highlight w:val="yellow"/>
          <w14:ligatures w14:val="none"/>
        </w:rPr>
        <w:t xml:space="preserve">/2022: </w:t>
      </w:r>
      <w:r>
        <w:rPr>
          <w:rFonts w:ascii="Tw Cen MT" w:eastAsia="Times New Roman" w:hAnsi="Tw Cen MT" w:cs="Segoe UI"/>
          <w:kern w:val="0"/>
          <w:highlight w:val="yellow"/>
          <w14:ligatures w14:val="none"/>
        </w:rPr>
        <w:t>1</w:t>
      </w:r>
      <w:r w:rsidRPr="009613B8">
        <w:rPr>
          <w:rFonts w:ascii="Tw Cen MT" w:eastAsia="Times New Roman" w:hAnsi="Tw Cen MT" w:cs="Segoe UI"/>
          <w:kern w:val="0"/>
          <w:highlight w:val="yellow"/>
          <w:vertAlign w:val="superscript"/>
          <w14:ligatures w14:val="none"/>
        </w:rPr>
        <w:t>st</w:t>
      </w:r>
      <w:r>
        <w:rPr>
          <w:rFonts w:ascii="Tw Cen MT" w:eastAsia="Times New Roman" w:hAnsi="Tw Cen MT" w:cs="Segoe UI"/>
          <w:kern w:val="0"/>
          <w:highlight w:val="yellow"/>
          <w14:ligatures w14:val="none"/>
        </w:rPr>
        <w:t xml:space="preserve"> of 2 payments made totaling $xxx</w:t>
      </w: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3F8CF3B3"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Ariel Lovett, </w:t>
      </w:r>
      <w:r w:rsidR="00BF42DC">
        <w:rPr>
          <w:rFonts w:asciiTheme="minorHAnsi" w:eastAsia="Times New Roman" w:hAnsiTheme="minorHAnsi"/>
          <w:caps w:val="0"/>
          <w:color w:val="auto"/>
          <w:sz w:val="23"/>
          <w:szCs w:val="23"/>
        </w:rPr>
        <w:t>P</w:t>
      </w:r>
      <w:r w:rsidR="003D4426">
        <w:rPr>
          <w:rFonts w:asciiTheme="minorHAnsi" w:eastAsia="Times New Roman" w:hAnsiTheme="minorHAnsi"/>
          <w:caps w:val="0"/>
          <w:color w:val="auto"/>
          <w:sz w:val="23"/>
          <w:szCs w:val="23"/>
        </w:rPr>
        <w:t>rojects Administrator, CEO’s Office</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510E16C9" w:rsidR="005914C8" w:rsidRPr="00E648BD" w:rsidRDefault="003D4426" w:rsidP="0077576C">
                                  <w:r>
                                    <w:t>ECON0</w:t>
                                  </w:r>
                                  <w:r w:rsidR="005237F3">
                                    <w:t>5</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1F328FF7" w:rsidR="005914C8" w:rsidRPr="00E648BD" w:rsidRDefault="003D4426" w:rsidP="0077576C">
                                  <w:r>
                                    <w:t>2.</w:t>
                                  </w:r>
                                  <w:r w:rsidR="005237F3">
                                    <w:t>22</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510E16C9" w:rsidR="005914C8" w:rsidRPr="00E648BD" w:rsidRDefault="003D4426" w:rsidP="0077576C">
                            <w:r>
                              <w:t>ECON0</w:t>
                            </w:r>
                            <w:r w:rsidR="005237F3">
                              <w:t>5</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1F328FF7" w:rsidR="005914C8" w:rsidRPr="00E648BD" w:rsidRDefault="003D4426" w:rsidP="0077576C">
                            <w:r>
                              <w:t>2.</w:t>
                            </w:r>
                            <w:r w:rsidR="005237F3">
                              <w:t>22</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BA6D" w14:textId="77777777" w:rsidR="00070B97" w:rsidRDefault="00070B97">
      <w:pPr>
        <w:spacing w:after="0" w:line="240" w:lineRule="auto"/>
      </w:pPr>
      <w:r>
        <w:separator/>
      </w:r>
    </w:p>
  </w:endnote>
  <w:endnote w:type="continuationSeparator" w:id="0">
    <w:p w14:paraId="09ACEE24" w14:textId="77777777" w:rsidR="00070B97" w:rsidRDefault="00070B97">
      <w:pPr>
        <w:spacing w:after="0" w:line="240" w:lineRule="auto"/>
      </w:pPr>
      <w:r>
        <w:continuationSeparator/>
      </w:r>
    </w:p>
  </w:endnote>
  <w:endnote w:type="continuationNotice" w:id="1">
    <w:p w14:paraId="77264ABA" w14:textId="77777777" w:rsidR="00070B97" w:rsidRDefault="00070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1313" w14:textId="77777777" w:rsidR="00070B97" w:rsidRDefault="00070B97">
      <w:pPr>
        <w:spacing w:after="0" w:line="240" w:lineRule="auto"/>
      </w:pPr>
      <w:r>
        <w:separator/>
      </w:r>
    </w:p>
  </w:footnote>
  <w:footnote w:type="continuationSeparator" w:id="0">
    <w:p w14:paraId="69D2D559" w14:textId="77777777" w:rsidR="00070B97" w:rsidRDefault="00070B97">
      <w:pPr>
        <w:spacing w:after="0" w:line="240" w:lineRule="auto"/>
      </w:pPr>
      <w:r>
        <w:continuationSeparator/>
      </w:r>
    </w:p>
  </w:footnote>
  <w:footnote w:type="continuationNotice" w:id="1">
    <w:p w14:paraId="01C5BC89" w14:textId="77777777" w:rsidR="00070B97" w:rsidRDefault="00070B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651973">
    <w:abstractNumId w:val="9"/>
  </w:num>
  <w:num w:numId="2" w16cid:durableId="1564679129">
    <w:abstractNumId w:val="13"/>
  </w:num>
  <w:num w:numId="3" w16cid:durableId="1973241632">
    <w:abstractNumId w:val="7"/>
  </w:num>
  <w:num w:numId="4" w16cid:durableId="942154844">
    <w:abstractNumId w:val="7"/>
  </w:num>
  <w:num w:numId="5" w16cid:durableId="63837722">
    <w:abstractNumId w:val="6"/>
  </w:num>
  <w:num w:numId="6" w16cid:durableId="25721361">
    <w:abstractNumId w:val="6"/>
  </w:num>
  <w:num w:numId="7" w16cid:durableId="1779787908">
    <w:abstractNumId w:val="5"/>
  </w:num>
  <w:num w:numId="8" w16cid:durableId="1811749890">
    <w:abstractNumId w:val="5"/>
  </w:num>
  <w:num w:numId="9" w16cid:durableId="861816794">
    <w:abstractNumId w:val="4"/>
  </w:num>
  <w:num w:numId="10" w16cid:durableId="530843853">
    <w:abstractNumId w:val="4"/>
  </w:num>
  <w:num w:numId="11" w16cid:durableId="1916815738">
    <w:abstractNumId w:val="12"/>
  </w:num>
  <w:num w:numId="12" w16cid:durableId="1555195836">
    <w:abstractNumId w:val="13"/>
  </w:num>
  <w:num w:numId="13" w16cid:durableId="230580414">
    <w:abstractNumId w:val="7"/>
  </w:num>
  <w:num w:numId="14" w16cid:durableId="2025132380">
    <w:abstractNumId w:val="6"/>
  </w:num>
  <w:num w:numId="15" w16cid:durableId="944730111">
    <w:abstractNumId w:val="5"/>
  </w:num>
  <w:num w:numId="16" w16cid:durableId="375592391">
    <w:abstractNumId w:val="4"/>
  </w:num>
  <w:num w:numId="17" w16cid:durableId="934096318">
    <w:abstractNumId w:val="12"/>
  </w:num>
  <w:num w:numId="18" w16cid:durableId="1615869370">
    <w:abstractNumId w:val="13"/>
  </w:num>
  <w:num w:numId="19" w16cid:durableId="525170273">
    <w:abstractNumId w:val="7"/>
  </w:num>
  <w:num w:numId="20" w16cid:durableId="1387990171">
    <w:abstractNumId w:val="6"/>
  </w:num>
  <w:num w:numId="21" w16cid:durableId="735854888">
    <w:abstractNumId w:val="5"/>
  </w:num>
  <w:num w:numId="22" w16cid:durableId="1340040633">
    <w:abstractNumId w:val="4"/>
  </w:num>
  <w:num w:numId="23" w16cid:durableId="1773278450">
    <w:abstractNumId w:val="12"/>
  </w:num>
  <w:num w:numId="24" w16cid:durableId="1534536085">
    <w:abstractNumId w:val="8"/>
  </w:num>
  <w:num w:numId="25" w16cid:durableId="327754292">
    <w:abstractNumId w:val="3"/>
  </w:num>
  <w:num w:numId="26" w16cid:durableId="952441723">
    <w:abstractNumId w:val="2"/>
  </w:num>
  <w:num w:numId="27" w16cid:durableId="1892229611">
    <w:abstractNumId w:val="1"/>
  </w:num>
  <w:num w:numId="28" w16cid:durableId="932008435">
    <w:abstractNumId w:val="0"/>
  </w:num>
  <w:num w:numId="29" w16cid:durableId="1170219365">
    <w:abstractNumId w:val="15"/>
  </w:num>
  <w:num w:numId="30" w16cid:durableId="1928615785">
    <w:abstractNumId w:val="16"/>
  </w:num>
  <w:num w:numId="31" w16cid:durableId="124854642">
    <w:abstractNumId w:val="17"/>
  </w:num>
  <w:num w:numId="32" w16cid:durableId="1721396152">
    <w:abstractNumId w:val="11"/>
  </w:num>
  <w:num w:numId="33" w16cid:durableId="1176381177">
    <w:abstractNumId w:val="14"/>
  </w:num>
  <w:num w:numId="34" w16cid:durableId="1571774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52A4A"/>
    <w:rsid w:val="0005341A"/>
    <w:rsid w:val="00067337"/>
    <w:rsid w:val="00070B97"/>
    <w:rsid w:val="00085E9D"/>
    <w:rsid w:val="000B5BFE"/>
    <w:rsid w:val="000B7C7A"/>
    <w:rsid w:val="001037B6"/>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2685"/>
    <w:rsid w:val="002D3102"/>
    <w:rsid w:val="002D4927"/>
    <w:rsid w:val="002E1CBF"/>
    <w:rsid w:val="002E7C0A"/>
    <w:rsid w:val="00312051"/>
    <w:rsid w:val="00321A07"/>
    <w:rsid w:val="00325480"/>
    <w:rsid w:val="00332A04"/>
    <w:rsid w:val="00353A3C"/>
    <w:rsid w:val="00356B90"/>
    <w:rsid w:val="00356B91"/>
    <w:rsid w:val="00356FE5"/>
    <w:rsid w:val="00377C0D"/>
    <w:rsid w:val="003906C5"/>
    <w:rsid w:val="003973EA"/>
    <w:rsid w:val="003A2A26"/>
    <w:rsid w:val="003A2F68"/>
    <w:rsid w:val="003A550C"/>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92D3B"/>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B0A29"/>
    <w:rsid w:val="007C770C"/>
    <w:rsid w:val="007D052D"/>
    <w:rsid w:val="007D5DA8"/>
    <w:rsid w:val="007D7C24"/>
    <w:rsid w:val="007E037C"/>
    <w:rsid w:val="007E1907"/>
    <w:rsid w:val="007E678C"/>
    <w:rsid w:val="007F70CD"/>
    <w:rsid w:val="00803A31"/>
    <w:rsid w:val="00824BF9"/>
    <w:rsid w:val="00825429"/>
    <w:rsid w:val="008521C5"/>
    <w:rsid w:val="008662AD"/>
    <w:rsid w:val="00891918"/>
    <w:rsid w:val="00891B5A"/>
    <w:rsid w:val="008940B0"/>
    <w:rsid w:val="008A0853"/>
    <w:rsid w:val="008B5875"/>
    <w:rsid w:val="008B6232"/>
    <w:rsid w:val="008C130C"/>
    <w:rsid w:val="008C3EDF"/>
    <w:rsid w:val="008F56CC"/>
    <w:rsid w:val="008F6D1D"/>
    <w:rsid w:val="009054A4"/>
    <w:rsid w:val="00911CAB"/>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A7D38"/>
    <w:rsid w:val="00AB4EAE"/>
    <w:rsid w:val="00AC1460"/>
    <w:rsid w:val="00AD72D7"/>
    <w:rsid w:val="00AE29DF"/>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1508"/>
    <w:rsid w:val="00C7510F"/>
    <w:rsid w:val="00C85AA2"/>
    <w:rsid w:val="00C90279"/>
    <w:rsid w:val="00C94E9A"/>
    <w:rsid w:val="00CA7C2B"/>
    <w:rsid w:val="00CB3F34"/>
    <w:rsid w:val="00CC11A2"/>
    <w:rsid w:val="00CC7EF0"/>
    <w:rsid w:val="00CD12DE"/>
    <w:rsid w:val="00CD2D11"/>
    <w:rsid w:val="00CD3D30"/>
    <w:rsid w:val="00CD3DBE"/>
    <w:rsid w:val="00CE7089"/>
    <w:rsid w:val="00CF3F9F"/>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F599B"/>
    <w:rsid w:val="00E04568"/>
    <w:rsid w:val="00E26A65"/>
    <w:rsid w:val="00E44E60"/>
    <w:rsid w:val="00E469BA"/>
    <w:rsid w:val="00E648BD"/>
    <w:rsid w:val="00E66FDA"/>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021CBA4D"/>
    <w:rsid w:val="252ADFC8"/>
    <w:rsid w:val="291CEF5F"/>
    <w:rsid w:val="29ABEE1D"/>
    <w:rsid w:val="2FDDC574"/>
    <w:rsid w:val="305A3721"/>
    <w:rsid w:val="34225186"/>
    <w:rsid w:val="3E0CFBCB"/>
    <w:rsid w:val="41401C01"/>
    <w:rsid w:val="4459818C"/>
    <w:rsid w:val="45763D66"/>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1F4A98"/>
    <w:rsid w:val="003529DC"/>
    <w:rsid w:val="00437D39"/>
    <w:rsid w:val="00562302"/>
    <w:rsid w:val="00577D83"/>
    <w:rsid w:val="0065704F"/>
    <w:rsid w:val="00787BDE"/>
    <w:rsid w:val="00926AE4"/>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Props1.xml><?xml version="1.0" encoding="utf-8"?>
<ds:datastoreItem xmlns:ds="http://schemas.openxmlformats.org/officeDocument/2006/customXml" ds:itemID="{06EC0769-EA39-4E03-B237-255D4D1E23C8}"/>
</file>

<file path=customXml/itemProps2.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south yuba citizens league River Ambassadors</dc:subject>
  <dc:creator/>
  <cp:keywords/>
  <cp:lastModifiedBy/>
  <cp:revision>2</cp:revision>
  <dcterms:created xsi:type="dcterms:W3CDTF">2022-09-21T15:38:00Z</dcterms:created>
  <dcterms:modified xsi:type="dcterms:W3CDTF">2022-10-11T16:35:00Z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